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1393190" cy="461010"/>
            <wp:effectExtent l="0" t="0" r="889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>
      <w:pPr>
        <w:spacing w:line="480" w:lineRule="auto"/>
        <w:jc w:val="center"/>
        <w:rPr>
          <w:rFonts w:ascii="黑体" w:hAnsi="黑体" w:eastAsia="黑体"/>
          <w:sz w:val="48"/>
          <w:szCs w:val="48"/>
        </w:rPr>
      </w:pPr>
    </w:p>
    <w:p>
      <w:pPr>
        <w:spacing w:before="156" w:beforeLines="50" w:after="156" w:afterLines="50" w:line="480" w:lineRule="auto"/>
        <w:jc w:val="center"/>
        <w:rPr>
          <w:rFonts w:hint="eastAsia" w:asciiTheme="minorEastAsia" w:hAnsiTheme="minorEastAsia"/>
          <w:b/>
          <w:sz w:val="48"/>
          <w:szCs w:val="48"/>
        </w:rPr>
      </w:pPr>
      <w:r>
        <w:rPr>
          <w:rFonts w:hint="eastAsia" w:asciiTheme="minorEastAsia" w:hAnsiTheme="minorEastAsia"/>
          <w:b/>
          <w:sz w:val="48"/>
          <w:szCs w:val="48"/>
        </w:rPr>
        <w:t>东南大学本科生综合素质测评</w:t>
      </w:r>
    </w:p>
    <w:p>
      <w:pPr>
        <w:spacing w:before="156" w:beforeLines="50" w:after="156" w:afterLines="50" w:line="480" w:lineRule="auto"/>
        <w:jc w:val="center"/>
        <w:rPr>
          <w:rFonts w:hint="eastAsia" w:asciiTheme="minorEastAsia" w:hAnsiTheme="minorEastAsia" w:eastAsiaTheme="minorEastAsia"/>
          <w:b/>
          <w:sz w:val="48"/>
          <w:szCs w:val="48"/>
          <w:lang w:val="en-US" w:eastAsia="zh-CN"/>
        </w:rPr>
      </w:pPr>
      <w:r>
        <w:rPr>
          <w:rFonts w:hint="eastAsia" w:asciiTheme="minorEastAsia" w:hAnsiTheme="minorEastAsia"/>
          <w:b/>
          <w:sz w:val="48"/>
          <w:szCs w:val="48"/>
        </w:rPr>
        <w:t>操作手册-</w:t>
      </w:r>
      <w:r>
        <w:rPr>
          <w:rFonts w:hint="eastAsia" w:asciiTheme="minorEastAsia" w:hAnsiTheme="minorEastAsia"/>
          <w:b/>
          <w:sz w:val="48"/>
          <w:szCs w:val="48"/>
          <w:lang w:val="en-US" w:eastAsia="zh-CN"/>
        </w:rPr>
        <w:t>本科生</w:t>
      </w:r>
    </w:p>
    <w:p/>
    <w:p/>
    <w:p/>
    <w:p/>
    <w:p/>
    <w:p/>
    <w:p/>
    <w:p/>
    <w:tbl>
      <w:tblPr>
        <w:tblStyle w:val="10"/>
        <w:tblW w:w="4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4"/>
        <w:gridCol w:w="1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4" w:type="dxa"/>
            <w:shd w:val="clear" w:color="auto" w:fill="auto"/>
            <w:vAlign w:val="center"/>
          </w:tcPr>
          <w:p>
            <w:pPr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网络与信息中心</w:t>
            </w:r>
          </w:p>
        </w:tc>
        <w:tc>
          <w:tcPr>
            <w:tcW w:w="1659" w:type="dxa"/>
            <w:vMerge w:val="restart"/>
            <w:shd w:val="clear" w:color="auto" w:fill="auto"/>
            <w:vAlign w:val="center"/>
          </w:tcPr>
          <w:p>
            <w:pPr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联</w:t>
            </w:r>
            <w:r>
              <w:rPr>
                <w:rFonts w:ascii="黑体" w:hAnsi="黑体" w:eastAsia="黑体"/>
                <w:sz w:val="32"/>
                <w:szCs w:val="32"/>
              </w:rPr>
              <w:t>合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4" w:type="dxa"/>
            <w:shd w:val="clear" w:color="auto" w:fill="auto"/>
            <w:vAlign w:val="center"/>
          </w:tcPr>
          <w:p>
            <w:pPr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学</w:t>
            </w:r>
            <w:r>
              <w:rPr>
                <w:rFonts w:ascii="黑体" w:hAnsi="黑体" w:eastAsia="黑体"/>
                <w:sz w:val="32"/>
                <w:szCs w:val="32"/>
              </w:rPr>
              <w:t>生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处</w:t>
            </w:r>
          </w:p>
        </w:tc>
        <w:tc>
          <w:tcPr>
            <w:tcW w:w="1659" w:type="dxa"/>
            <w:vMerge w:val="continue"/>
            <w:shd w:val="clear" w:color="auto" w:fill="auto"/>
            <w:vAlign w:val="center"/>
          </w:tcPr>
          <w:p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br w:type="page"/>
      </w: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-1541355595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14"/>
            <w:spacing w:before="0" w:line="240" w:lineRule="auto"/>
            <w:jc w:val="center"/>
            <w:rPr>
              <w:sz w:val="21"/>
              <w:szCs w:val="21"/>
            </w:rPr>
          </w:pPr>
          <w:r>
            <w:rPr>
              <w:sz w:val="21"/>
              <w:szCs w:val="21"/>
              <w:lang w:val="zh-CN"/>
            </w:rPr>
            <w:t>目录</w:t>
          </w:r>
        </w:p>
        <w:p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_Toc15317 </w:instrText>
          </w:r>
          <w:r>
            <w:fldChar w:fldCharType="separate"/>
          </w:r>
          <w:r>
            <w:rPr>
              <w:rFonts w:hint="eastAsia"/>
            </w:rPr>
            <w:t>1 电脑端访问说</w:t>
          </w:r>
          <w:r>
            <w:t>明</w:t>
          </w:r>
          <w:r>
            <w:tab/>
          </w:r>
          <w:r>
            <w:fldChar w:fldCharType="begin"/>
          </w:r>
          <w:r>
            <w:instrText xml:space="preserve"> PAGEREF _Toc15317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_Toc20706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 xml:space="preserve">1.1 </w:t>
          </w:r>
          <w:r>
            <w:t>从</w:t>
          </w:r>
          <w:r>
            <w:rPr>
              <w:rFonts w:hint="eastAsia"/>
            </w:rPr>
            <w:t>“网</w:t>
          </w:r>
          <w:r>
            <w:t>上办事大厅”</w:t>
          </w:r>
          <w:r>
            <w:rPr>
              <w:rFonts w:hint="eastAsia"/>
            </w:rPr>
            <w:t>进</w:t>
          </w:r>
          <w:r>
            <w:t>入</w:t>
          </w:r>
          <w:r>
            <w:rPr>
              <w:rFonts w:hint="eastAsia"/>
            </w:rPr>
            <w:t>“本科生综合素质测评”</w:t>
          </w:r>
          <w:r>
            <w:tab/>
          </w:r>
          <w:r>
            <w:fldChar w:fldCharType="begin"/>
          </w:r>
          <w:r>
            <w:instrText xml:space="preserve"> PAGEREF _Toc20706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_Toc18649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1.1.1 首</w:t>
          </w:r>
          <w:r>
            <w:t>次</w:t>
          </w:r>
          <w:r>
            <w:rPr>
              <w:rFonts w:hint="eastAsia"/>
            </w:rPr>
            <w:t>打</w:t>
          </w:r>
          <w:r>
            <w:t>开</w:t>
          </w:r>
          <w:r>
            <w:tab/>
          </w:r>
          <w:r>
            <w:fldChar w:fldCharType="begin"/>
          </w:r>
          <w:r>
            <w:instrText xml:space="preserve"> PAGEREF _Toc18649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_Toc32590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1.1.2 后</w:t>
          </w:r>
          <w:r>
            <w:t>续</w:t>
          </w:r>
          <w:r>
            <w:rPr>
              <w:rFonts w:hint="eastAsia"/>
            </w:rPr>
            <w:t>打</w:t>
          </w:r>
          <w:r>
            <w:t>开</w:t>
          </w:r>
          <w:r>
            <w:tab/>
          </w:r>
          <w:r>
            <w:fldChar w:fldCharType="begin"/>
          </w:r>
          <w:r>
            <w:instrText xml:space="preserve"> PAGEREF _Toc32590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_Toc30165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 功能</w:t>
          </w:r>
          <w:r>
            <w:t>操作说明</w:t>
          </w:r>
          <w:r>
            <w:tab/>
          </w:r>
          <w:r>
            <w:fldChar w:fldCharType="begin"/>
          </w:r>
          <w:r>
            <w:instrText xml:space="preserve"> PAGEREF _Toc30165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_Toc9661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 xml:space="preserve">2.1 </w:t>
          </w:r>
          <w:r>
            <w:rPr>
              <w:rFonts w:hint="eastAsia"/>
              <w:lang w:val="en-US" w:eastAsia="zh-CN"/>
            </w:rPr>
            <w:t>试卷</w:t>
          </w:r>
          <w:r>
            <w:tab/>
          </w:r>
          <w:r>
            <w:fldChar w:fldCharType="begin"/>
          </w:r>
          <w:r>
            <w:instrText xml:space="preserve"> PAGEREF _Toc9661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_Toc30718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3 技术</w:t>
          </w:r>
          <w:r>
            <w:t>支持</w:t>
          </w:r>
          <w:r>
            <w:tab/>
          </w:r>
          <w:r>
            <w:fldChar w:fldCharType="begin"/>
          </w:r>
          <w:r>
            <w:instrText xml:space="preserve"> PAGEREF _Toc30718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_Toc17914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3.1 操作指</w:t>
          </w:r>
          <w:r>
            <w:t>导</w:t>
          </w:r>
          <w:r>
            <w:tab/>
          </w:r>
          <w:r>
            <w:fldChar w:fldCharType="begin"/>
          </w:r>
          <w:r>
            <w:instrText xml:space="preserve"> PAGEREF _Toc17914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_Toc3514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3.2 故障反馈</w:t>
          </w:r>
          <w:r>
            <w:tab/>
          </w:r>
          <w:r>
            <w:fldChar w:fldCharType="begin"/>
          </w:r>
          <w:r>
            <w:instrText xml:space="preserve"> PAGEREF _Toc3514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r>
            <w:rPr>
              <w:bCs/>
              <w:lang w:val="zh-CN"/>
            </w:rPr>
            <w:fldChar w:fldCharType="end"/>
          </w:r>
        </w:p>
      </w:sdtContent>
    </w:sdt>
    <w:p>
      <w:pPr>
        <w:pStyle w:val="2"/>
        <w:pageBreakBefore/>
      </w:pPr>
      <w:bookmarkStart w:id="0" w:name="_Toc15317"/>
      <w:r>
        <w:rPr>
          <w:rFonts w:hint="eastAsia"/>
        </w:rPr>
        <w:t>电脑端访问说</w:t>
      </w:r>
      <w:r>
        <w:t>明</w:t>
      </w:r>
      <w:bookmarkEnd w:id="0"/>
    </w:p>
    <w:p>
      <w:pPr>
        <w:spacing w:line="360" w:lineRule="auto"/>
        <w:ind w:firstLine="420"/>
      </w:pPr>
      <w:r>
        <w:rPr>
          <w:rFonts w:hint="eastAsia"/>
        </w:rPr>
        <w:t>电脑端</w:t>
      </w:r>
      <w:r>
        <w:t>操作环境</w:t>
      </w:r>
      <w:r>
        <w:rPr>
          <w:rFonts w:hint="eastAsia"/>
        </w:rPr>
        <w:t>说明</w:t>
      </w:r>
      <w:r>
        <w:t>见下：</w:t>
      </w:r>
    </w:p>
    <w:tbl>
      <w:tblPr>
        <w:tblStyle w:val="11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7" w:type="dxa"/>
            <w:shd w:val="clear" w:color="auto" w:fill="DEEAF6" w:themeFill="accent1" w:themeFillTint="33"/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推荐浏览</w:t>
            </w:r>
            <w:r>
              <w:rPr>
                <w:b/>
              </w:rPr>
              <w:t>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7" w:type="dxa"/>
            <w:shd w:val="clear" w:color="auto" w:fill="auto"/>
            <w:vAlign w:val="center"/>
          </w:tcPr>
          <w:p>
            <w:pPr>
              <w:ind w:firstLine="735" w:firstLineChars="350"/>
            </w:pPr>
            <w:r>
              <w:drawing>
                <wp:inline distT="0" distB="0" distL="0" distR="0">
                  <wp:extent cx="561975" cy="581025"/>
                  <wp:effectExtent l="0" t="0" r="1905" b="1333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</w:t>
            </w:r>
            <w:r>
              <w:drawing>
                <wp:inline distT="0" distB="0" distL="0" distR="0">
                  <wp:extent cx="533400" cy="542925"/>
                  <wp:effectExtent l="0" t="0" r="0" b="571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</w:t>
            </w:r>
            <w:r>
              <w:drawing>
                <wp:inline distT="0" distB="0" distL="0" distR="0">
                  <wp:extent cx="581025" cy="561975"/>
                  <wp:effectExtent l="0" t="0" r="13335" b="190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ind w:firstLine="420" w:firstLineChars="200"/>
              <w:rPr>
                <w:b/>
              </w:rPr>
            </w:pPr>
            <w:r>
              <w:rPr>
                <w:rFonts w:hint="eastAsia"/>
              </w:rPr>
              <w:t>360极速</w:t>
            </w:r>
            <w:r>
              <w:t>浏览器</w:t>
            </w:r>
            <w:r>
              <w:rPr>
                <w:rFonts w:hint="eastAsia"/>
              </w:rPr>
              <w:t xml:space="preserve"> </w:t>
            </w:r>
            <w:r>
              <w:t xml:space="preserve">              </w:t>
            </w:r>
            <w:r>
              <w:rPr>
                <w:rFonts w:hint="eastAsia"/>
              </w:rPr>
              <w:t>360安</w:t>
            </w:r>
            <w:r>
              <w:t>全浏览器</w:t>
            </w:r>
            <w:r>
              <w:rPr>
                <w:rFonts w:hint="eastAsia"/>
              </w:rPr>
              <w:t xml:space="preserve">  </w:t>
            </w:r>
            <w:r>
              <w:t xml:space="preserve">            </w:t>
            </w:r>
            <w:r>
              <w:rPr>
                <w:rFonts w:hint="eastAsia"/>
              </w:rPr>
              <w:t>谷歌</w:t>
            </w:r>
            <w:r>
              <w:t>浏览器</w:t>
            </w:r>
          </w:p>
        </w:tc>
      </w:tr>
    </w:tbl>
    <w:p>
      <w:pPr>
        <w:pStyle w:val="3"/>
      </w:pPr>
      <w:bookmarkStart w:id="1" w:name="_Toc53143073"/>
      <w:bookmarkStart w:id="2" w:name="_Toc9012"/>
      <w:r>
        <w:t>从</w:t>
      </w:r>
      <w:r>
        <w:rPr>
          <w:rFonts w:hint="eastAsia"/>
        </w:rPr>
        <w:t>“</w:t>
      </w:r>
      <w:r>
        <w:rPr>
          <w:rFonts w:hint="eastAsia"/>
          <w:lang w:val="en-US" w:eastAsia="zh-CN"/>
        </w:rPr>
        <w:t>信息服务门户</w:t>
      </w:r>
      <w:r>
        <w:t>”</w:t>
      </w:r>
      <w:r>
        <w:rPr>
          <w:rFonts w:hint="eastAsia"/>
        </w:rPr>
        <w:t>进</w:t>
      </w:r>
      <w:r>
        <w:t>入</w:t>
      </w:r>
      <w:r>
        <w:rPr>
          <w:rFonts w:hint="eastAsia"/>
        </w:rPr>
        <w:t>“本科生综合素质测评”</w:t>
      </w:r>
      <w:bookmarkEnd w:id="1"/>
      <w:bookmarkEnd w:id="2"/>
    </w:p>
    <w:p>
      <w:pPr>
        <w:spacing w:line="360" w:lineRule="auto"/>
        <w:ind w:firstLine="420"/>
      </w:pPr>
      <w:r>
        <w:rPr>
          <w:rFonts w:hint="eastAsia"/>
        </w:rPr>
        <w:t>浏览</w:t>
      </w:r>
      <w:r>
        <w:t>器输入</w:t>
      </w:r>
      <w:r>
        <w:rPr>
          <w:rFonts w:hint="eastAsia"/>
          <w:color w:val="0000FF"/>
          <w:u w:val="single"/>
        </w:rPr>
        <w:t>i.seu.edu.cn</w:t>
      </w:r>
      <w:r>
        <w:rPr>
          <w:rFonts w:hint="eastAsia"/>
        </w:rPr>
        <w:t>按</w:t>
      </w:r>
      <w:r>
        <w:t>提示输入</w:t>
      </w:r>
      <w:r>
        <w:rPr>
          <w:rFonts w:hint="eastAsia"/>
        </w:rPr>
        <w:t>账</w:t>
      </w:r>
      <w:r>
        <w:t>号密码，</w:t>
      </w:r>
      <w:r>
        <w:rPr>
          <w:rFonts w:hint="eastAsia"/>
        </w:rPr>
        <w:t>点</w:t>
      </w:r>
      <w:r>
        <w:t>击</w:t>
      </w:r>
      <w:r>
        <w:rPr>
          <w:rFonts w:hint="eastAsia"/>
        </w:rPr>
        <w:t>登录</w:t>
      </w:r>
      <w:r>
        <w:t>按钮</w:t>
      </w:r>
      <w:r>
        <w:rPr>
          <w:rFonts w:hint="eastAsia"/>
        </w:rPr>
        <w:t>进</w:t>
      </w:r>
      <w:r>
        <w:t>入</w:t>
      </w:r>
      <w:r>
        <w:rPr>
          <w:rFonts w:hint="eastAsia"/>
          <w:lang w:val="en-US" w:eastAsia="zh-CN"/>
        </w:rPr>
        <w:t>信息服务门户</w:t>
      </w:r>
      <w:r>
        <w:t>主界面。</w:t>
      </w:r>
    </w:p>
    <w:p>
      <w:pPr>
        <w:spacing w:line="360" w:lineRule="auto"/>
      </w:pPr>
      <w:r>
        <w:drawing>
          <wp:inline distT="0" distB="0" distL="114300" distR="114300">
            <wp:extent cx="5266690" cy="2858135"/>
            <wp:effectExtent l="0" t="0" r="6350" b="698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3" w:name="_Toc19381"/>
      <w:r>
        <w:rPr>
          <w:rFonts w:hint="eastAsia"/>
          <w:lang w:val="en-US" w:eastAsia="zh-CN"/>
        </w:rPr>
        <w:t>打开应用</w:t>
      </w:r>
      <w:bookmarkEnd w:id="3"/>
    </w:p>
    <w:p>
      <w:pPr>
        <w:spacing w:line="360" w:lineRule="auto"/>
        <w:ind w:left="420"/>
        <w:rPr>
          <w:rFonts w:hint="eastAsia" w:eastAsiaTheme="minorEastAsia"/>
          <w:lang w:eastAsia="zh-CN"/>
        </w:rPr>
      </w:pPr>
      <w:r>
        <w:t>在</w:t>
      </w:r>
      <w:r>
        <w:rPr>
          <w:rFonts w:hint="eastAsia"/>
        </w:rPr>
        <w:t>下</w:t>
      </w:r>
      <w:r>
        <w:t>图</w:t>
      </w:r>
      <w:r>
        <w:rPr>
          <w:rFonts w:hint="eastAsia"/>
          <w:lang w:val="en-US" w:eastAsia="zh-CN"/>
        </w:rPr>
        <w:t>搜索框</w:t>
      </w:r>
      <w:r>
        <w:t>处输入“</w:t>
      </w:r>
      <w:r>
        <w:rPr>
          <w:rFonts w:hint="eastAsia"/>
        </w:rPr>
        <w:t>本科生综合素质测评</w:t>
      </w:r>
      <w:r>
        <w:t>”</w:t>
      </w:r>
      <w:r>
        <w:rPr>
          <w:rFonts w:hint="eastAsia"/>
          <w:lang w:eastAsia="zh-CN"/>
        </w:rPr>
        <w:t>，</w:t>
      </w:r>
      <w:r>
        <w:t>然后点“</w:t>
      </w:r>
      <w:r>
        <w:rPr>
          <w:rFonts w:hint="eastAsia"/>
        </w:rPr>
        <w:t>本科生综合素质测评</w:t>
      </w:r>
      <w:r>
        <w:t>”</w:t>
      </w:r>
      <w:r>
        <w:rPr>
          <w:rFonts w:hint="eastAsia"/>
        </w:rPr>
        <w:t>即</w:t>
      </w:r>
      <w:r>
        <w:t>可进入</w:t>
      </w:r>
      <w:r>
        <w:rPr>
          <w:rFonts w:hint="eastAsia"/>
        </w:rPr>
        <w:t>本科生综合素质测评</w:t>
      </w:r>
      <w:r>
        <w:t xml:space="preserve">主页面。 </w:t>
      </w:r>
    </w:p>
    <w:p>
      <w:r>
        <w:drawing>
          <wp:inline distT="0" distB="0" distL="114300" distR="114300">
            <wp:extent cx="5263515" cy="2656840"/>
            <wp:effectExtent l="0" t="0" r="9525" b="1016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pStyle w:val="2"/>
      </w:pPr>
      <w:bookmarkStart w:id="4" w:name="_Toc30165"/>
      <w:r>
        <w:rPr>
          <w:rFonts w:hint="eastAsia"/>
        </w:rPr>
        <w:t>功能</w:t>
      </w:r>
      <w:r>
        <w:t>操作说明</w:t>
      </w:r>
      <w:bookmarkEnd w:id="4"/>
    </w:p>
    <w:p>
      <w:pPr>
        <w:pStyle w:val="3"/>
        <w:ind w:left="567" w:leftChars="0" w:firstLineChars="0"/>
      </w:pPr>
      <w:bookmarkStart w:id="5" w:name="_Toc9661"/>
      <w:r>
        <w:rPr>
          <w:rFonts w:hint="eastAsia"/>
          <w:lang w:val="en-US" w:eastAsia="zh-CN"/>
        </w:rPr>
        <w:t>东南大学本科生综合素质测评</w:t>
      </w:r>
      <w:bookmarkStart w:id="9" w:name="_GoBack"/>
      <w:bookmarkEnd w:id="9"/>
      <w:r>
        <w:rPr>
          <w:rFonts w:hint="eastAsia"/>
          <w:lang w:val="en-US" w:eastAsia="zh-CN"/>
        </w:rPr>
        <w:t>试卷</w:t>
      </w:r>
      <w:bookmarkEnd w:id="5"/>
    </w:p>
    <w:p>
      <w:pPr>
        <w:pStyle w:val="15"/>
        <w:rPr>
          <w:rFonts w:hint="default"/>
          <w:lang w:val="en-US"/>
        </w:rPr>
      </w:pPr>
      <w:r>
        <w:rPr>
          <w:rFonts w:hint="eastAsia"/>
          <w:lang w:val="en-US" w:eastAsia="zh-CN"/>
        </w:rPr>
        <w:t>看到试卷后</w:t>
      </w:r>
      <w:r>
        <w:rPr>
          <w:rFonts w:hint="eastAsia"/>
        </w:rPr>
        <w:t>完成问卷全部问题后点击提交按钮即可。</w:t>
      </w:r>
    </w:p>
    <w:p>
      <w:r>
        <w:drawing>
          <wp:inline distT="0" distB="0" distL="114300" distR="114300">
            <wp:extent cx="5271135" cy="3202940"/>
            <wp:effectExtent l="0" t="0" r="1905" b="1270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0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spacing w:line="360" w:lineRule="auto"/>
      </w:pPr>
    </w:p>
    <w:p>
      <w:pPr>
        <w:pStyle w:val="2"/>
      </w:pPr>
      <w:bookmarkStart w:id="6" w:name="_Toc30718"/>
      <w:r>
        <w:rPr>
          <w:rFonts w:hint="eastAsia"/>
        </w:rPr>
        <w:t>技术</w:t>
      </w:r>
      <w:r>
        <w:t>支持</w:t>
      </w:r>
      <w:bookmarkEnd w:id="6"/>
    </w:p>
    <w:p>
      <w:pPr>
        <w:pStyle w:val="3"/>
        <w:ind w:left="567" w:leftChars="0" w:firstLineChars="0"/>
      </w:pPr>
      <w:bookmarkStart w:id="7" w:name="_Toc17914"/>
      <w:r>
        <w:rPr>
          <w:rFonts w:hint="eastAsia"/>
        </w:rPr>
        <w:t>操作指</w:t>
      </w:r>
      <w:r>
        <w:t>导</w:t>
      </w:r>
      <w:bookmarkEnd w:id="7"/>
    </w:p>
    <w:p>
      <w:pPr>
        <w:ind w:left="420"/>
      </w:pPr>
      <w:r>
        <w:rPr>
          <w:rFonts w:hint="eastAsia"/>
        </w:rPr>
        <w:t>获取</w:t>
      </w:r>
      <w:r>
        <w:t>功能层面的操作支撑或咨询，</w:t>
      </w:r>
      <w:r>
        <w:rPr>
          <w:rFonts w:hint="eastAsia"/>
        </w:rPr>
        <w:t>请</w:t>
      </w:r>
      <w:r>
        <w:t>致</w:t>
      </w:r>
      <w:r>
        <w:rPr>
          <w:rFonts w:hint="eastAsia"/>
        </w:rPr>
        <w:t>电</w:t>
      </w:r>
      <w:r>
        <w:rPr>
          <w:rFonts w:hint="eastAsia" w:asciiTheme="minorEastAsia" w:hAnsiTheme="minorEastAsia"/>
          <w:b/>
          <w:sz w:val="28"/>
          <w:szCs w:val="28"/>
        </w:rPr>
        <w:t>83790808转2。</w:t>
      </w:r>
      <w:r>
        <w:rPr>
          <w:rFonts w:hint="eastAsia"/>
        </w:rPr>
        <w:t xml:space="preserve"> </w:t>
      </w:r>
    </w:p>
    <w:p>
      <w:pPr>
        <w:pStyle w:val="3"/>
        <w:ind w:left="567" w:leftChars="0" w:firstLineChars="0"/>
      </w:pPr>
      <w:bookmarkStart w:id="8" w:name="_Toc3514"/>
      <w:r>
        <w:rPr>
          <w:rFonts w:hint="eastAsia"/>
        </w:rPr>
        <w:t>故障反馈</w:t>
      </w:r>
      <w:bookmarkEnd w:id="8"/>
    </w:p>
    <w:p>
      <w:pPr>
        <w:numPr>
          <w:ilvl w:val="0"/>
          <w:numId w:val="2"/>
        </w:numPr>
        <w:spacing w:line="360" w:lineRule="auto"/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访问“东大信息化APP”—“日常必备”—“网络报修”在线反馈故障，操作入口见下图标红区域；</w:t>
      </w: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2049780" cy="1805940"/>
            <wp:effectExtent l="0" t="0" r="7620" b="7620"/>
            <wp:docPr id="10" name="图片 10" descr="63e69e414d8ed9b7892474fca31b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3e69e414d8ed9b7892474fca31b8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both"/>
        <w:rPr>
          <w:rFonts w:hint="default"/>
          <w:lang w:val="en-US"/>
        </w:rPr>
      </w:pPr>
      <w:r>
        <w:rPr>
          <w:rFonts w:hint="eastAsia"/>
          <w:lang w:val="en-US" w:eastAsia="zh-CN"/>
        </w:rPr>
        <w:t>（2）登录“东大信息化”微信服务号——&gt;网络报修——&gt;故障申报，在线反馈故障，操作入口见下图标红区域。</w:t>
      </w:r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64080" cy="1127760"/>
            <wp:effectExtent l="0" t="0" r="0" b="0"/>
            <wp:docPr id="11" name="图片 11" descr="ae3948945e8bcea27c5d869f8dbfb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ae3948945e8bcea27c5d869f8dbfba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8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11</w:t>
    </w:r>
    <w:r>
      <w:rPr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B445E7"/>
    <w:multiLevelType w:val="multilevel"/>
    <w:tmpl w:val="15B445E7"/>
    <w:lvl w:ilvl="0" w:tentative="0">
      <w:start w:val="1"/>
      <w:numFmt w:val="decimal"/>
      <w:pStyle w:val="2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59FF4470"/>
    <w:multiLevelType w:val="singleLevel"/>
    <w:tmpl w:val="59FF4470"/>
    <w:lvl w:ilvl="0" w:tentative="0">
      <w:start w:val="1"/>
      <w:numFmt w:val="decimal"/>
      <w:suff w:val="space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lZDZjMDgwNGJmNThhOWMyNGE0MDcxZDZkMDZhMGMifQ=="/>
  </w:docVars>
  <w:rsids>
    <w:rsidRoot w:val="6A527E7E"/>
    <w:rsid w:val="13DE137C"/>
    <w:rsid w:val="1D8B398A"/>
    <w:rsid w:val="23974C14"/>
    <w:rsid w:val="314D6213"/>
    <w:rsid w:val="498A77E3"/>
    <w:rsid w:val="574D0E3D"/>
    <w:rsid w:val="5A5E2695"/>
    <w:rsid w:val="6A52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line="360" w:lineRule="auto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numPr>
        <w:ilvl w:val="2"/>
        <w:numId w:val="1"/>
      </w:numPr>
      <w:spacing w:line="360" w:lineRule="auto"/>
      <w:outlineLvl w:val="2"/>
    </w:pPr>
    <w:rPr>
      <w:b/>
      <w:bCs/>
      <w:sz w:val="28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4">
    <w:name w:val="TOC Heading"/>
    <w:basedOn w:val="2"/>
    <w:next w:val="1"/>
    <w:unhideWhenUsed/>
    <w:qFormat/>
    <w:uiPriority w:val="39"/>
    <w:pPr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Cs w:val="3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424</Words>
  <Characters>464</Characters>
  <Lines>0</Lines>
  <Paragraphs>0</Paragraphs>
  <TotalTime>3</TotalTime>
  <ScaleCrop>false</ScaleCrop>
  <LinksUpToDate>false</LinksUpToDate>
  <CharactersWithSpaces>601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2022-08-14T08:28:00Z</dcterms:created>
  <dc:creator>wisedu</dc:creator>
  <cp:lastModifiedBy>wisedu</cp:lastModifiedBy>
  <dcterms:modified xsi:type="dcterms:W3CDTF">2022-08-15T07:27:04Z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549E3EF1EB0A433A885059B9F14168FA</vt:lpwstr>
  </property>
</Properties>
</file>